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43" w:rsidRPr="00C2450A" w:rsidRDefault="00BC3943" w:rsidP="00C2450A">
      <w:pPr>
        <w:jc w:val="center"/>
        <w:rPr>
          <w:rFonts w:ascii="Times New Roman" w:hAnsi="Times New Roman"/>
          <w:b/>
          <w:sz w:val="28"/>
          <w:szCs w:val="28"/>
        </w:rPr>
      </w:pPr>
      <w:r w:rsidRPr="00C2450A">
        <w:rPr>
          <w:rFonts w:ascii="Times New Roman" w:hAnsi="Times New Roman"/>
          <w:b/>
          <w:sz w:val="28"/>
          <w:szCs w:val="28"/>
        </w:rPr>
        <w:t>Современные образовательные технологии</w:t>
      </w:r>
    </w:p>
    <w:p w:rsidR="00BC3943" w:rsidRDefault="00BC3943" w:rsidP="00904B34">
      <w:pPr>
        <w:rPr>
          <w:rFonts w:ascii="Times New Roman" w:hAnsi="Times New Roman"/>
          <w:sz w:val="28"/>
          <w:szCs w:val="28"/>
        </w:rPr>
      </w:pPr>
      <w:r w:rsidRPr="00C2450A">
        <w:rPr>
          <w:rFonts w:ascii="Times New Roman" w:hAnsi="Times New Roman"/>
          <w:sz w:val="28"/>
          <w:szCs w:val="28"/>
        </w:rPr>
        <w:t xml:space="preserve"> </w:t>
      </w:r>
    </w:p>
    <w:p w:rsidR="00BC3943" w:rsidRDefault="00BC3943" w:rsidP="00904B34">
      <w:pPr>
        <w:rPr>
          <w:rFonts w:ascii="Times New Roman" w:hAnsi="Times New Roman"/>
          <w:sz w:val="28"/>
          <w:szCs w:val="28"/>
        </w:rPr>
      </w:pPr>
      <w:r w:rsidRPr="00C2450A">
        <w:rPr>
          <w:rFonts w:ascii="Times New Roman" w:hAnsi="Times New Roman"/>
          <w:sz w:val="28"/>
          <w:szCs w:val="28"/>
        </w:rPr>
        <w:t>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w:t>
      </w:r>
    </w:p>
    <w:p w:rsidR="00BC3943" w:rsidRDefault="00BC3943" w:rsidP="00904B34">
      <w:pPr>
        <w:rPr>
          <w:rFonts w:ascii="Times New Roman" w:hAnsi="Times New Roman"/>
          <w:sz w:val="28"/>
          <w:szCs w:val="28"/>
        </w:rPr>
      </w:pPr>
      <w:r w:rsidRPr="00C2450A">
        <w:rPr>
          <w:rFonts w:ascii="Times New Roman" w:hAnsi="Times New Roman"/>
          <w:sz w:val="28"/>
          <w:szCs w:val="28"/>
        </w:rPr>
        <w:t xml:space="preserve"> </w:t>
      </w:r>
      <w:r w:rsidRPr="00C2450A">
        <w:rPr>
          <w:rFonts w:ascii="Times New Roman" w:hAnsi="Times New Roman"/>
          <w:b/>
          <w:sz w:val="28"/>
          <w:szCs w:val="28"/>
        </w:rPr>
        <w:t>Технология проблемного обучения</w:t>
      </w:r>
      <w:r w:rsidRPr="00C2450A">
        <w:rPr>
          <w:rFonts w:ascii="Times New Roman" w:hAnsi="Times New Roman"/>
          <w:sz w:val="28"/>
          <w:szCs w:val="28"/>
        </w:rPr>
        <w:t xml:space="preserve"> </w:t>
      </w:r>
    </w:p>
    <w:p w:rsidR="00BC3943" w:rsidRDefault="00BC3943" w:rsidP="00904B34">
      <w:pPr>
        <w:rPr>
          <w:rFonts w:ascii="Times New Roman" w:hAnsi="Times New Roman"/>
          <w:sz w:val="28"/>
          <w:szCs w:val="28"/>
        </w:rPr>
      </w:pPr>
      <w:r w:rsidRPr="00C2450A">
        <w:rPr>
          <w:rFonts w:ascii="Times New Roman" w:hAnsi="Times New Roman"/>
          <w:sz w:val="28"/>
          <w:szCs w:val="28"/>
        </w:rPr>
        <w:t xml:space="preserve">Технология проблемного обучения основывается на теоретических положениях американского философа, психолога и педагога Д. Дьюи. 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 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 В современной теории проблемного обучения различают два вида проблемных ситуаций: психологическую и педагогическую. Первая касается деятельности учеников, вторая представляет организацию учебного процесса. 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 </w:t>
      </w:r>
    </w:p>
    <w:p w:rsidR="00BC3943" w:rsidRDefault="00BC3943" w:rsidP="00904B34">
      <w:pPr>
        <w:rPr>
          <w:rFonts w:ascii="Times New Roman" w:hAnsi="Times New Roman"/>
          <w:b/>
          <w:sz w:val="28"/>
          <w:szCs w:val="28"/>
        </w:rPr>
      </w:pPr>
      <w:r w:rsidRPr="00C2450A">
        <w:rPr>
          <w:rFonts w:ascii="Times New Roman" w:hAnsi="Times New Roman"/>
          <w:b/>
          <w:sz w:val="28"/>
          <w:szCs w:val="28"/>
        </w:rPr>
        <w:t>Разноуровневое обучение</w:t>
      </w:r>
    </w:p>
    <w:p w:rsidR="00BC3943" w:rsidRDefault="00BC3943" w:rsidP="00904B34">
      <w:pPr>
        <w:rPr>
          <w:rFonts w:ascii="Times New Roman" w:hAnsi="Times New Roman"/>
          <w:sz w:val="28"/>
          <w:szCs w:val="28"/>
        </w:rPr>
      </w:pPr>
      <w:r w:rsidRPr="00C2450A">
        <w:rPr>
          <w:rFonts w:ascii="Times New Roman" w:hAnsi="Times New Roman"/>
          <w:sz w:val="28"/>
          <w:szCs w:val="28"/>
        </w:rPr>
        <w:t xml:space="preserve"> Разноуровневое обучение —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ученику овладевать учебным материалом по отдельным предметам школьной программы на разном уровне (А, В, С), но не ниже базового, в зависимости от способностей и индивидуальных особенностей личности каждого учащегося; Схема образовательных траекторий в рамках разноуровневого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 А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 Переход учащегося из уровня в уровень возможен и на практике происходит безболезненно, так как содержание (тематика) едина для всех уровней. Технология разноуровневого обучения разработана и внедрена в | Московской Технологической школе ОРТ в 1994 году. </w:t>
      </w:r>
    </w:p>
    <w:p w:rsidR="00BC3943" w:rsidRDefault="00BC3943" w:rsidP="00904B34">
      <w:pPr>
        <w:rPr>
          <w:rFonts w:ascii="Times New Roman" w:hAnsi="Times New Roman"/>
          <w:b/>
          <w:sz w:val="28"/>
          <w:szCs w:val="28"/>
        </w:rPr>
      </w:pPr>
      <w:r w:rsidRPr="00C2450A">
        <w:rPr>
          <w:rFonts w:ascii="Times New Roman" w:hAnsi="Times New Roman"/>
          <w:b/>
          <w:sz w:val="28"/>
          <w:szCs w:val="28"/>
        </w:rPr>
        <w:t>Технология проектного обучения</w:t>
      </w:r>
    </w:p>
    <w:p w:rsidR="00BC3943" w:rsidRDefault="00BC3943" w:rsidP="00904B34">
      <w:pPr>
        <w:rPr>
          <w:rFonts w:ascii="Times New Roman" w:hAnsi="Times New Roman"/>
          <w:sz w:val="28"/>
          <w:szCs w:val="28"/>
        </w:rPr>
      </w:pPr>
      <w:r w:rsidRPr="00C2450A">
        <w:rPr>
          <w:rFonts w:ascii="Times New Roman" w:hAnsi="Times New Roman"/>
          <w:sz w:val="28"/>
          <w:szCs w:val="28"/>
        </w:rPr>
        <w:t xml:space="preserve"> 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В.Х.Килпатрика «Метод проектов. Применение целевой установки в педагогическом процессе» (</w:t>
      </w:r>
      <w:smartTag w:uri="urn:schemas-microsoft-com:office:smarttags" w:element="metricconverter">
        <w:smartTagPr>
          <w:attr w:name="ProductID" w:val="1925 г"/>
        </w:smartTagPr>
        <w:r w:rsidRPr="00C2450A">
          <w:rPr>
            <w:rFonts w:ascii="Times New Roman" w:hAnsi="Times New Roman"/>
            <w:sz w:val="28"/>
            <w:szCs w:val="28"/>
          </w:rPr>
          <w:t>1925 г</w:t>
        </w:r>
      </w:smartTag>
      <w:r w:rsidRPr="00C2450A">
        <w:rPr>
          <w:rFonts w:ascii="Times New Roman" w:hAnsi="Times New Roman"/>
          <w:sz w:val="28"/>
          <w:szCs w:val="28"/>
        </w:rPr>
        <w:t>.). В 20-е и начале 30-х годов в российских школах широко использовался метод проектов для реализации выдвигаемых задач – развития ученика. Исходный лозунг основателей системы проектного обучения – «Все из жизни, все для жизни». Карл Фрей в своей книге «Проектный метод» (изд-во «Бельц»,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например:  участники проекта подхватывают проектную инициативу от коголибо из жизни;</w:t>
      </w:r>
      <w:r w:rsidRPr="00C2450A">
        <w:rPr>
          <w:rFonts w:ascii="Times New Roman" w:hAnsi="Times New Roman"/>
          <w:sz w:val="28"/>
          <w:szCs w:val="28"/>
        </w:rPr>
        <w:sym w:font="Symbol" w:char="F0B7"/>
      </w:r>
      <w:r w:rsidRPr="00C2450A">
        <w:rPr>
          <w:rFonts w:ascii="Times New Roman" w:hAnsi="Times New Roman"/>
          <w:sz w:val="28"/>
          <w:szCs w:val="28"/>
        </w:rPr>
        <w:t xml:space="preserve">  участники проекта договариваются друг с другом о форме обучения;</w:t>
      </w:r>
      <w:r w:rsidRPr="00C2450A">
        <w:rPr>
          <w:rFonts w:ascii="Times New Roman" w:hAnsi="Times New Roman"/>
          <w:sz w:val="28"/>
          <w:szCs w:val="28"/>
        </w:rPr>
        <w:sym w:font="Symbol" w:char="F0B7"/>
      </w:r>
      <w:r w:rsidRPr="00C2450A">
        <w:rPr>
          <w:rFonts w:ascii="Times New Roman" w:hAnsi="Times New Roman"/>
          <w:sz w:val="28"/>
          <w:szCs w:val="28"/>
        </w:rPr>
        <w:t xml:space="preserve">  участники проекта развивают проектную инициативу и доводят ее</w:t>
      </w:r>
      <w:r w:rsidRPr="00C2450A">
        <w:rPr>
          <w:rFonts w:ascii="Times New Roman" w:hAnsi="Times New Roman"/>
          <w:sz w:val="28"/>
          <w:szCs w:val="28"/>
        </w:rPr>
        <w:sym w:font="Symbol" w:char="F0B7"/>
      </w:r>
      <w:r w:rsidRPr="00C2450A">
        <w:rPr>
          <w:rFonts w:ascii="Times New Roman" w:hAnsi="Times New Roman"/>
          <w:sz w:val="28"/>
          <w:szCs w:val="28"/>
        </w:rPr>
        <w:t xml:space="preserve"> до сведения всех;  участники проекта организуют себя на дело;</w:t>
      </w:r>
      <w:r w:rsidRPr="00C2450A">
        <w:rPr>
          <w:rFonts w:ascii="Times New Roman" w:hAnsi="Times New Roman"/>
          <w:sz w:val="28"/>
          <w:szCs w:val="28"/>
        </w:rPr>
        <w:sym w:font="Symbol" w:char="F0B7"/>
      </w:r>
      <w:r w:rsidRPr="00C2450A">
        <w:rPr>
          <w:rFonts w:ascii="Times New Roman" w:hAnsi="Times New Roman"/>
          <w:sz w:val="28"/>
          <w:szCs w:val="28"/>
        </w:rPr>
        <w:t xml:space="preserve">  участники проекта информируют друг друга о ходе работы;</w:t>
      </w:r>
      <w:r w:rsidRPr="00C2450A">
        <w:rPr>
          <w:rFonts w:ascii="Times New Roman" w:hAnsi="Times New Roman"/>
          <w:sz w:val="28"/>
          <w:szCs w:val="28"/>
        </w:rPr>
        <w:sym w:font="Symbol" w:char="F0B7"/>
      </w:r>
      <w:r w:rsidRPr="00C2450A">
        <w:rPr>
          <w:rFonts w:ascii="Times New Roman" w:hAnsi="Times New Roman"/>
          <w:sz w:val="28"/>
          <w:szCs w:val="28"/>
        </w:rPr>
        <w:t xml:space="preserve">  участники проекта вступают в дискуссии и т.д.</w:t>
      </w:r>
      <w:r w:rsidRPr="00C2450A">
        <w:rPr>
          <w:rFonts w:ascii="Times New Roman" w:hAnsi="Times New Roman"/>
          <w:sz w:val="28"/>
          <w:szCs w:val="28"/>
        </w:rPr>
        <w:sym w:font="Symbol" w:char="F0B7"/>
      </w:r>
      <w:r w:rsidRPr="00C2450A">
        <w:rPr>
          <w:rFonts w:ascii="Times New Roman" w:hAnsi="Times New Roman"/>
          <w:sz w:val="28"/>
          <w:szCs w:val="28"/>
        </w:rPr>
        <w:t xml:space="preserve"> Все это говорит о том, что автор под проектным методом имеет в виду систему действий педагога и учащихся по разработке проекта. 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 Исходные теоретические позиции проектного обучения: 1) в центре внимания – ученик, содействие развитию его творческих способностей; 2) 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 3) индивидуальный темп работы над проектом обеспечивает выход каждого ученика на свой уровень развития; 4) комплексный подход в разработке учебных проектов способствует сбалансированному развитию основных физиологических и психических функций ученика; 5) глубокое, осознанное усвоение базовых знаний обеспечивается за счет универсального их использования в разных ситуациях. Системы действий учителя и учащихся. С целью выделения систем действий учителя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 </w:t>
      </w:r>
    </w:p>
    <w:p w:rsidR="00BC3943" w:rsidRPr="00175ABD" w:rsidRDefault="00BC3943" w:rsidP="00175ABD">
      <w:pPr>
        <w:pStyle w:val="ListParagraph"/>
        <w:numPr>
          <w:ilvl w:val="0"/>
          <w:numId w:val="3"/>
        </w:numPr>
        <w:rPr>
          <w:rFonts w:ascii="Times New Roman" w:hAnsi="Times New Roman"/>
          <w:sz w:val="28"/>
          <w:szCs w:val="28"/>
        </w:rPr>
      </w:pPr>
      <w:r w:rsidRPr="00175ABD">
        <w:rPr>
          <w:rFonts w:ascii="Times New Roman" w:hAnsi="Times New Roman"/>
          <w:sz w:val="28"/>
          <w:szCs w:val="28"/>
        </w:rPr>
        <w:t xml:space="preserve">Разработка проектного задания 1.1. Выбор темы проекта Учитель отбирает возможные темы и предлагает их учащимся. Учащиеся обсуждают и принимают общее решение по теме. Учитель предлагает учащимся совместно отобрать тему проекта. Группа учащихся совместно с учителем отбирает темы и предлагает классу для обсуждения Учитель участвует в обсуждении тем, предложенных учащимися. Учащиеся самостоятельно подбирают темы и предлагают классу для обсуждения. 1.2. Выделение подтем в тем проекта Учитель предварительно вычленяет подтемы и предлагает учащимся для выбора Каждый ученик выбирает себе подтему или предлагает новую. Учитель принимает участие в обсуждении с учащимися подтем проекта Учащиеся активно обсуждают и предлагают варианты подтем. Каждый ученик выбирает одну из них для себя (т.е. выбирает себе роль). 1.3. Формирование творческих групп Учитель проводит организационную работу по объединению школьников, выбравших себе конкретные подтемы и виды деятельности Учащиеся уже определили свои роли и группируются в соответствии с ними в малые команды 1.4. Подготовка материалов к исследовательской работе: формулировка вопросов, на которые нужно ответить, задание для команд, отбор литературы Если проект объемный, то учитель заранее разрабатывает задания, вопросы для поисковой деятельности и литературу Отдельные учащиеся старших и средних классов принимают участие в разработке заданий. Вопросы для поиска ответа вырабатываться могут в командах с последующим обсуждением классом. 1.5. Определение форм выражения итогов проектной деятельности Учитель принимает участие в обсуждении Учащиеся в группах, а затем в классе обсуждают формы представления результата исследовательской деятельности: видеофильм, альбом, натуральные объекты, литературная гостиная и т.д. 2. Разработка проекта Учитель консультирует, координирует работу учащихся, стимулирует их деятельность. Учащиеся осуществляют поисковую деятельность 3. Оформление результатов Учитель консультирует, координирует работу учащихся, стимулирует их деятельность. Учащиеся вначале по группам, а потом во взаимодействии с другими группами оформляют результаты в соответствии с принятыми правилами. 4. Презентация Учитель организует экспертизу (например, приглашает в качестве экспертов старших школьников или параллельный класс, родителей и др). Докладывают о результатах своей работы 5. Рефлексия Оценивает свою деятельность по педагогическому руководству деятельностью детей, учитывает их оценки Осуществляют рефлексию процесса, себя в нем с учетом оценки других. Желательна групповая рефлексия Можно выделить по времени три вида учебных проектов: краткосрочные (2-6 часов); среднесрочные (12-15 часов); долгосрочные, требующие значительного времени для поиска материала, его анализа и т.д.   </w:t>
      </w:r>
    </w:p>
    <w:p w:rsidR="00BC3943" w:rsidRDefault="00BC3943" w:rsidP="00175ABD">
      <w:pPr>
        <w:pStyle w:val="ListParagraph"/>
        <w:rPr>
          <w:rFonts w:ascii="Times New Roman" w:hAnsi="Times New Roman"/>
          <w:sz w:val="28"/>
          <w:szCs w:val="28"/>
        </w:rPr>
      </w:pPr>
      <w:r w:rsidRPr="00175ABD">
        <w:rPr>
          <w:rFonts w:ascii="Times New Roman" w:hAnsi="Times New Roman"/>
          <w:b/>
          <w:sz w:val="28"/>
          <w:szCs w:val="28"/>
        </w:rPr>
        <w:t>Технология использования в обучении игровых методов</w:t>
      </w:r>
      <w:r w:rsidRPr="00175ABD">
        <w:rPr>
          <w:rFonts w:ascii="Times New Roman" w:hAnsi="Times New Roman"/>
          <w:sz w:val="28"/>
          <w:szCs w:val="28"/>
        </w:rPr>
        <w:t xml:space="preserve"> </w:t>
      </w:r>
    </w:p>
    <w:p w:rsidR="00BC3943" w:rsidRDefault="00BC3943" w:rsidP="00175ABD">
      <w:pPr>
        <w:pStyle w:val="ListParagraph"/>
        <w:rPr>
          <w:rFonts w:ascii="Times New Roman" w:hAnsi="Times New Roman"/>
          <w:sz w:val="28"/>
          <w:szCs w:val="28"/>
        </w:rPr>
      </w:pPr>
      <w:r w:rsidRPr="00175ABD">
        <w:rPr>
          <w:rFonts w:ascii="Times New Roman" w:hAnsi="Times New Roman"/>
          <w:sz w:val="28"/>
          <w:szCs w:val="28"/>
        </w:rPr>
        <w:t>Наибольший интерес, в образовательном процессе, представляют игровые технологии.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 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Эльконин и др. Реализация игровых приёмов и ситуаций при урочной форме занятий происходит по таким основным направлениям:  дидактическая цель ставится перед учащимися в форме игровой</w:t>
      </w:r>
      <w:r w:rsidRPr="00C2450A">
        <w:sym w:font="Symbol" w:char="F0B7"/>
      </w:r>
      <w:r w:rsidRPr="00175ABD">
        <w:rPr>
          <w:rFonts w:ascii="Times New Roman" w:hAnsi="Times New Roman"/>
          <w:sz w:val="28"/>
          <w:szCs w:val="28"/>
        </w:rPr>
        <w:t xml:space="preserve"> задачи;  учебная деятельность подчиняется правилам игры;</w:t>
      </w:r>
      <w:r w:rsidRPr="00C2450A">
        <w:sym w:font="Symbol" w:char="F0B7"/>
      </w:r>
      <w:r w:rsidRPr="00175ABD">
        <w:rPr>
          <w:rFonts w:ascii="Times New Roman" w:hAnsi="Times New Roman"/>
          <w:sz w:val="28"/>
          <w:szCs w:val="28"/>
        </w:rPr>
        <w:t xml:space="preserve">  учебный материал используется в качестве её средства, в учебную</w:t>
      </w:r>
      <w:r w:rsidRPr="00C2450A">
        <w:sym w:font="Symbol" w:char="F0B7"/>
      </w:r>
      <w:r w:rsidRPr="00175ABD">
        <w:rPr>
          <w:rFonts w:ascii="Times New Roman" w:hAnsi="Times New Roman"/>
          <w:sz w:val="28"/>
          <w:szCs w:val="28"/>
        </w:rPr>
        <w:t xml:space="preserve">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w:t>
      </w:r>
      <w:r w:rsidRPr="00C2450A">
        <w:sym w:font="Symbol" w:char="F0B7"/>
      </w:r>
      <w:r w:rsidRPr="00175ABD">
        <w:rPr>
          <w:rFonts w:ascii="Times New Roman" w:hAnsi="Times New Roman"/>
          <w:sz w:val="28"/>
          <w:szCs w:val="28"/>
        </w:rPr>
        <w:t xml:space="preserve"> результатом. 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 1) правильно организованная с учётом специфики материала игра тренирует память, помогает учащимся выработать речевые умения и навыки; 2) игра стимулирует умственную деятельность учащихся, развивает внимание и познавательный интерес к предмету; 3) игра - один из приёмов преодоления пассивности учеников. Функция игры – ее разнообразная полезность. У каждого вида игры своя полезность. Выделим наиболее важные функции игры как педагогического феномена культуры. Социокультурное назначение игры. Игра – сильнейшее средство социализации ребенка,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Социокультурное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 Функция межнациональной коммуникации. И. Кант считал человечество самой коммуникабельностью. Игры национальны и в то же время интернациональны, межнациональны, общечеловечны.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 Функция самореализации человека в игре. 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результата, конкурентность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 Коммуникативная игра. Игра – деятельность коммуникативная, хотя по чисто игровым правилам и конкретная. Она вводит учащегося в реальный контекст сложнейших человеческих отношений. Любое игровое общество – коллектив, выступающей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взаимоуступок никакой игры между ними быть не может. Диагностическая функция игры. Диагностика – способность распознавать, процесс постановки диагноза. Игра обладает предсказательностью; она диагностичнее,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 Игротерапевтическая функция игры. 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Эльконин писал, что эффект игровой терапии определяется практикой новых социальных отношений, которые получает ребенок в ролевой игре. Функция коррекции в игре. Психологическая коррекции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 Развлекательная функция игры. Развлечение – это влечение к разному,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т.е. стабилизации личности, реализации уровней ее притязаний. Развлечение в играх – поиск. Игра обладает магией, способной давать пищу фантазии, выводящей на развлекательность. 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w:t>
      </w:r>
    </w:p>
    <w:p w:rsidR="00BC3943" w:rsidRDefault="00BC3943" w:rsidP="00175ABD">
      <w:pPr>
        <w:pStyle w:val="ListParagraph"/>
        <w:rPr>
          <w:rFonts w:ascii="Times New Roman" w:hAnsi="Times New Roman"/>
          <w:b/>
          <w:sz w:val="28"/>
          <w:szCs w:val="28"/>
        </w:rPr>
      </w:pPr>
      <w:r w:rsidRPr="00175ABD">
        <w:rPr>
          <w:rFonts w:ascii="Times New Roman" w:hAnsi="Times New Roman"/>
          <w:sz w:val="28"/>
          <w:szCs w:val="28"/>
        </w:rPr>
        <w:t xml:space="preserve"> </w:t>
      </w:r>
      <w:r w:rsidRPr="00175ABD">
        <w:rPr>
          <w:rFonts w:ascii="Times New Roman" w:hAnsi="Times New Roman"/>
          <w:b/>
          <w:sz w:val="28"/>
          <w:szCs w:val="28"/>
        </w:rPr>
        <w:t>Технология обучение в сотрудничестве</w:t>
      </w:r>
    </w:p>
    <w:p w:rsidR="00BC3943" w:rsidRDefault="00BC3943" w:rsidP="00175ABD">
      <w:pPr>
        <w:pStyle w:val="ListParagraph"/>
        <w:rPr>
          <w:rFonts w:ascii="Times New Roman" w:hAnsi="Times New Roman"/>
          <w:sz w:val="28"/>
          <w:szCs w:val="28"/>
        </w:rPr>
      </w:pPr>
      <w:r w:rsidRPr="00175ABD">
        <w:rPr>
          <w:rFonts w:ascii="Times New Roman" w:hAnsi="Times New Roman"/>
          <w:sz w:val="28"/>
          <w:szCs w:val="28"/>
        </w:rPr>
        <w:t xml:space="preserve"> Обучение в сотрудничестве рассматривается в мировой педагогике как наиболее успешная альтернатива традиционным методам. Педагогика сотрудничества - эта одна из технологий личностно – ориентированного обучения, которая основана на принципах: -взаимозависимость членов группы; - личная ответственность каждого члена группы за собственные успехи и успехи группы; - совместная учебно-познавательная деятельность в группе; - общая оценка работы группы. Обучение в сотрудничестве рассматривается как метод обучения. Существуют несколько вариантов данного метода обучения. 1 вариант (обучение в команде) В этом варианте особое внимание уделяется «групповым целям» и успеху всей группы, который может быть достигнут в результате самостоятельной работе каждого члена группы в постоянном взаимодействии с другими членами этой же группы при работе над темой, вопросом, подлежащим изучению. Поэтому задача каждого ученика состоит не только в том, чтобы сделать что-то вместе, чтобы каждый член команды овладел необходимыми знаниями, сформировал нужные навыки и при этом, чтобы вся команда знала, чего достиг каждый ученик. Вся группа заинтересована в усвоении учебной информации каждым ее членом, поскольку успех команды зависит от вклада каждого, а также в совместном решении поставленной перед группой проблемы. Этот вариант сводится к трем основным принципам: а) «награды» команда получает одну на всех в виде балльной оценки, какого-то поощрения, значка отличия, похвалы или других видов оценки совместной деятельности. Для этого необходимо выполнить предложенное для всей группы одно задание. Группы не соревнуются друг с другом, так как все команды имеют разную «планку» и разное время на ее достижение; б) индивидуальная ответственность каждого ученика означает, что успех или неуспех всей группы зависит от удач или неудач каждого ее члена.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 чтобы каждый чувствовал себя готовым к любому виду тестирования, контрольной проверке, которые могут быть предложены учителем любому ученику отдельно, вне группы; в) равные возможности каждого ученика в достижении успеха означают, что каждый учащийся приносит своей группе очки,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Это дает равные возможности продвинутым, средним и отстающим ученикам в получении очков для своей команды. Стараясь улучшить результаты предыдущего опроса или теста, ученик любого уровня, может принести своей команде равное количество баллов, что позволяет ему чувствовать себя полноправным членом команды и стимулирует желание поднимать выше свою персональную «планку». 2 вариант обучения в сотрудничестве «Пила» Учащиеся организуются в группы по 4- 6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Поскольку единственный путь освоить материал всех фрагментов и таким образом научиться преобразовывать выражения — это внимательно слушать партнеров по команде и делать записи в тетрадях, никаких дополнительных усилий со стороны учителя не требуется. Учащиеся кровно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вся команда в целом. На заключительном этапе учитель может попросить любого ученики команды ответить на любой вопрос по данной теме. В конце цикла все учащиеся проходят индивидуальный контрольный срез, который и оценивается. Результаты учащихся суммируются. Команда, сумевшая достичь наивысшей суммы баллов, награждается. 3 вариант метода обучения в сотрудничестве «Учимся вместе» Класс разбивается на разнородные (по уровню обученности) группы в 3—5 человек. Каждая группа получает одно задание, являющееся подзаданием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 Группа получает награды в зависимости от достижений каждого ученика. На учителя ложится ответственность по вопросу комплектации групп, (с учетом индивидуальных и психологических особенностей каждого члена) и разработке задач для каждой конкретной группы. Внутри группы учащиеся самостоятельно определяют роли каждого из них в выполнении общего задания (у каждого, таким образом, своя часть, свое подзадание): отслеживания правильности выполнения заданий партнерами, мониторинга активности каждого члена группы в решении общей задачи, а также культуры общения внутри группы.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контролирует не только успешность выполнения академического задания группами учащихся, но и характер их общения между собой, способ оказания необходимой помощи друг другу. 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 но уже на следующем витке, при обобщении результатов, их обсуждении и принятии общего решения, либо при выполнении следующего нового задания, когда учащиеся используют знания, полученные и обработанные усилиями всей группы. 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то необходимо приближаться к намеченной цели постепенно и терпеливо шаг за шагом, уча своих учеников:  взаимодействовать в группе с любым партнером или партнерами;</w:t>
      </w:r>
      <w:r w:rsidRPr="00C2450A">
        <w:sym w:font="Symbol" w:char="F0B7"/>
      </w:r>
      <w:r w:rsidRPr="00175ABD">
        <w:rPr>
          <w:rFonts w:ascii="Times New Roman" w:hAnsi="Times New Roman"/>
          <w:sz w:val="28"/>
          <w:szCs w:val="28"/>
        </w:rPr>
        <w:t xml:space="preserve">  работать активно, серьезно относясь к порученному заданию;</w:t>
      </w:r>
      <w:r w:rsidRPr="00C2450A">
        <w:sym w:font="Symbol" w:char="F0B7"/>
      </w:r>
      <w:r w:rsidRPr="00175ABD">
        <w:rPr>
          <w:rFonts w:ascii="Times New Roman" w:hAnsi="Times New Roman"/>
          <w:sz w:val="28"/>
          <w:szCs w:val="28"/>
        </w:rPr>
        <w:t xml:space="preserve">  вежливо и доброжелательно общаться с партнерами;</w:t>
      </w:r>
      <w:r w:rsidRPr="00C2450A">
        <w:sym w:font="Symbol" w:char="F0B7"/>
      </w:r>
      <w:r w:rsidRPr="00175ABD">
        <w:rPr>
          <w:rFonts w:ascii="Times New Roman" w:hAnsi="Times New Roman"/>
          <w:sz w:val="28"/>
          <w:szCs w:val="28"/>
        </w:rPr>
        <w:t xml:space="preserve">  испытывать чувство ответственности не только за собственные</w:t>
      </w:r>
      <w:r w:rsidRPr="00C2450A">
        <w:sym w:font="Symbol" w:char="F0B7"/>
      </w:r>
      <w:r w:rsidRPr="00175ABD">
        <w:rPr>
          <w:rFonts w:ascii="Times New Roman" w:hAnsi="Times New Roman"/>
          <w:sz w:val="28"/>
          <w:szCs w:val="28"/>
        </w:rPr>
        <w:t xml:space="preserve"> успехи, но и за успехи своих партнеров, всего класса;  полностью осознавать, что совместная работа в группах — это</w:t>
      </w:r>
      <w:r w:rsidRPr="00C2450A">
        <w:sym w:font="Symbol" w:char="F0B7"/>
      </w:r>
      <w:r w:rsidRPr="00175ABD">
        <w:rPr>
          <w:rFonts w:ascii="Times New Roman" w:hAnsi="Times New Roman"/>
          <w:sz w:val="28"/>
          <w:szCs w:val="28"/>
        </w:rPr>
        <w:t xml:space="preserve"> серьезный и ответственный труд. </w:t>
      </w:r>
    </w:p>
    <w:p w:rsidR="00BC3943" w:rsidRDefault="00BC3943" w:rsidP="00175ABD">
      <w:pPr>
        <w:pStyle w:val="ListParagraph"/>
        <w:rPr>
          <w:rFonts w:ascii="Times New Roman" w:hAnsi="Times New Roman"/>
          <w:b/>
          <w:sz w:val="28"/>
          <w:szCs w:val="28"/>
        </w:rPr>
      </w:pPr>
      <w:r w:rsidRPr="00175ABD">
        <w:rPr>
          <w:rFonts w:ascii="Times New Roman" w:hAnsi="Times New Roman"/>
          <w:b/>
          <w:sz w:val="28"/>
          <w:szCs w:val="28"/>
        </w:rPr>
        <w:t>Система инновационной оценки "портфолио".</w:t>
      </w:r>
    </w:p>
    <w:p w:rsidR="00BC3943" w:rsidRDefault="00BC3943" w:rsidP="00175ABD">
      <w:pPr>
        <w:pStyle w:val="ListParagraph"/>
        <w:rPr>
          <w:rFonts w:ascii="Times New Roman" w:hAnsi="Times New Roman"/>
          <w:sz w:val="28"/>
          <w:szCs w:val="28"/>
        </w:rPr>
      </w:pPr>
      <w:r w:rsidRPr="00175ABD">
        <w:rPr>
          <w:rFonts w:ascii="Times New Roman" w:hAnsi="Times New Roman"/>
          <w:sz w:val="28"/>
          <w:szCs w:val="28"/>
        </w:rPr>
        <w:t xml:space="preserve"> К числу современных образовательных технологий можно отнести и систему инновационной оценки "портфолио". Портфолио (в широком смысле этого слова) — это способ фиксирования, накопления и оценки индивидуальных достижений школьника в определенный период его обучения. Важная цель портфолио — 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 Портфолио не только является современной эффективной формой оценивания, но и помогает решать важные педагогические задачи: · Поддерживать высокую учебную мотивацию школьников; · Поощрять их активность и самостоятельность, расширять возможности обучения и самообучения; · Развивать навыки рефлексивной и оценочной (самооценочной) деятельности учащихся; · Формировать умение учиться — ставить цели, планировать и организовывать собственную учебную деятельность; · Содействовать индивидуализации (персонализации) образования учащихся; · Закладывать дополнительные предпосылки возможности для успешной социализации. Введение портфолио повышает образовательную активность школьников, уровень осознания ими своих целей и возможностей, что позволяет сделать выбор дальнейшего направления и формы обучения старшеклассниками более верными и ответственными. Типы портфолио. Разработчики моделей портфолио в России ориентировались на три распространенных за рубежом его типа: показательный, рабочий и оценочный. По аналогии с ними было предложено три типа портфолио и рекомендации по их применению. 1. Портфолио документов — портфель сертифицированных (документированных) индивидуальных образовательных достижений. Подобная модель предполагает возможность как качественной, так и количественной оценки материалов портфолио. Итоговый документ представлен в виде вкладыша в аттестат и содержит итоговый балл, а также перечень и оценки сертификатов, входящих в его состав. Документы или их копии могут быть помещены в приложении к портфолио. Преимущества данного варианта: итоговая бальная оценка делает портфолио этого типа действенным механизмом определения образовательного рейтинга ученика, так как может стать значимой составляющей этого рейтинга (наряду с оценками, полученными при итоговой аттестации). Недостатки данного варианта: портфолио этого типа дает представление о результатах, но не описывает процесса индивидуального развития ученика, разнообразия его творческой активности, его учебного стиля, интересов. 2. Портфолио работ представляет собой собрание различных творческих, проектных, исследовательских работ ученика, а также учебной и творческой активности: участие в научных конференциях, конкурсах, учебных лагерях, прохождение элективных курсов, разного рода практик, спортивных и художественных достижений. Данный раздел портфолио оформляется в виде творческой книжки ученика с приложением его работ. Примерный вариант записей в «Портфолио работ»: — исследовательские работы и рефераты; — проектные работы; — техническое творчество: модели, макеты, приборы; — работы по искусству; — элективные курсы и факультативы; — различные практики; — занятия в учреждениях дополнительного образования; — участие в научных конференциях, учебных семинарах; — спортивные достижения; — другое. Преимущества: портфолио данного типа даёт представление о динамике учебной и творческой активности ученика, направленности его интересов, характере предпрофильной подготовки. Недостатки: 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 3. Портфолио отзывов 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а также письменный анализ самого школьника своей конкретной деятельности и её результатов. Портфолио может быть представлен в виде текстов заключений, рецензий, отзывов, резюме, эссе, рекомендательных писем. Примерный перечень документов «Портфолио отзывов». — заключение о качестве выполняемой работы; — рецензия на статью, опубликованную в СМИ; — отзыв о работе в творческом коллективе, о выступлении на научно — практической конференции; — резюме, подготовленное школьником, с оценкой собственных учебных достижений; — эссе школьника, посвященное выбору направления дальнейшего обучения; — рекомендательное письмо о прохождении практики; — другое. Преимущества: эта форма портфолио дает возможность «включить» механизмы самооценки ученика, что повышает осознанность процессов, связанных с обучением и выбором профильного направления. Недостатки: сложность формализации и учета собранной информации. </w:t>
      </w:r>
    </w:p>
    <w:p w:rsidR="00BC3943" w:rsidRDefault="00BC3943" w:rsidP="00175ABD">
      <w:pPr>
        <w:pStyle w:val="ListParagraph"/>
        <w:rPr>
          <w:rFonts w:ascii="Times New Roman" w:hAnsi="Times New Roman"/>
          <w:sz w:val="28"/>
          <w:szCs w:val="28"/>
        </w:rPr>
      </w:pPr>
      <w:r w:rsidRPr="00175ABD">
        <w:rPr>
          <w:rFonts w:ascii="Times New Roman" w:hAnsi="Times New Roman"/>
          <w:b/>
          <w:sz w:val="28"/>
          <w:szCs w:val="28"/>
        </w:rPr>
        <w:t>Информационно-коммуникативные технологии</w:t>
      </w:r>
      <w:r w:rsidRPr="00175ABD">
        <w:rPr>
          <w:rFonts w:ascii="Times New Roman" w:hAnsi="Times New Roman"/>
          <w:sz w:val="28"/>
          <w:szCs w:val="28"/>
        </w:rPr>
        <w:t xml:space="preserve"> </w:t>
      </w:r>
    </w:p>
    <w:p w:rsidR="00BC3943" w:rsidRDefault="00BC3943" w:rsidP="00175ABD">
      <w:pPr>
        <w:pStyle w:val="ListParagraph"/>
        <w:rPr>
          <w:rFonts w:ascii="Times New Roman" w:hAnsi="Times New Roman"/>
          <w:sz w:val="28"/>
          <w:szCs w:val="28"/>
        </w:rPr>
      </w:pPr>
      <w:r w:rsidRPr="00175ABD">
        <w:rPr>
          <w:rFonts w:ascii="Times New Roman" w:hAnsi="Times New Roman"/>
          <w:sz w:val="28"/>
          <w:szCs w:val="28"/>
        </w:rPr>
        <w:t xml:space="preserve">В широком значении информационно-коммуникационные технологии (ИКТ) – 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 Внедрение ИКТ в образовательный процесс не столько насущная необходимость, сколько осознанный процесс технологизации рутинных процессов с целью высвобождения творческой энергии личности современного общества. Основной целью педагогов становится не только организация и ведение процесса овладения прочными базовыми знаниями и навыками учебы, но и формирование личности, способной адаптироваться к условиям современной жизни. При переходе к новым формам обучения, использующим сетевые технологии, возникает тенденция – ориентироваться на сеть распределенных образовательных ресурсов нового поколения, которые могут применяться в режиме коллективного доступа многих учебных заведений к единым образовательным ресурсам по сети Интернет. Этот путь открывает ряд неоспоримых преимуществ: o создаются предпосылки для обеспечения единой базовой подготовки учащихся независимо от территориального расположения учебного заведения, наличия собственных высокопрофессиональных педагогических кадров, образовательных ресурсов и пр.; o повышается наукоемкость,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 o значительно сокращаются затраты на создание, поддержку и развитие образовательных ресурсов за счет исключения их массового тиражирования; o становятся принципиально доступными многим образовательным учреждениям или отдельным учащимся уникальные образовательные ресурсы. Обозначим основные дидактические требования, предъявляемые к информационно-коммуникационным технологиям в образовании с целью повышения эффективности их применения в образовательном процессе: </w:t>
      </w:r>
      <w:r>
        <w:rPr>
          <w:rFonts w:ascii="Times New Roman" w:hAnsi="Times New Roman"/>
          <w:sz w:val="28"/>
          <w:szCs w:val="28"/>
        </w:rPr>
        <w:t xml:space="preserve"> </w:t>
      </w:r>
      <w:r w:rsidRPr="00175ABD">
        <w:rPr>
          <w:rFonts w:ascii="Times New Roman" w:hAnsi="Times New Roman"/>
          <w:sz w:val="28"/>
          <w:szCs w:val="28"/>
        </w:rPr>
        <w:t xml:space="preserve"> мотивированность в использовании различных дидактических материалов; </w:t>
      </w:r>
      <w:r>
        <w:rPr>
          <w:rFonts w:ascii="Times New Roman" w:hAnsi="Times New Roman"/>
          <w:sz w:val="28"/>
          <w:szCs w:val="28"/>
        </w:rPr>
        <w:t xml:space="preserve"> </w:t>
      </w:r>
      <w:r w:rsidRPr="00175ABD">
        <w:rPr>
          <w:rFonts w:ascii="Times New Roman" w:hAnsi="Times New Roman"/>
          <w:sz w:val="28"/>
          <w:szCs w:val="28"/>
        </w:rPr>
        <w:t xml:space="preserve"> четкое определение роли, места, назначения и времени использования электронных образовательных ресурсов и компьютерных средств обучения; o организационная роль преподавателя в проведении занятий; </w:t>
      </w:r>
      <w:r>
        <w:rPr>
          <w:rFonts w:ascii="Times New Roman" w:hAnsi="Times New Roman"/>
          <w:sz w:val="28"/>
          <w:szCs w:val="28"/>
        </w:rPr>
        <w:t xml:space="preserve"> </w:t>
      </w:r>
      <w:r w:rsidRPr="00175ABD">
        <w:rPr>
          <w:rFonts w:ascii="Times New Roman" w:hAnsi="Times New Roman"/>
          <w:sz w:val="28"/>
          <w:szCs w:val="28"/>
        </w:rPr>
        <w:t xml:space="preserve"> введение в технологию только таких компонентов, которые гарантируют качество обучения; </w:t>
      </w:r>
      <w:r>
        <w:rPr>
          <w:rFonts w:ascii="Times New Roman" w:hAnsi="Times New Roman"/>
          <w:sz w:val="28"/>
          <w:szCs w:val="28"/>
        </w:rPr>
        <w:t xml:space="preserve"> </w:t>
      </w:r>
      <w:r w:rsidRPr="00175ABD">
        <w:rPr>
          <w:rFonts w:ascii="Times New Roman" w:hAnsi="Times New Roman"/>
          <w:sz w:val="28"/>
          <w:szCs w:val="28"/>
        </w:rPr>
        <w:t xml:space="preserve">соответствие методики компьютерного обучения общей стратегии проведения учебного занятия; </w:t>
      </w:r>
      <w:r>
        <w:rPr>
          <w:rFonts w:ascii="Times New Roman" w:hAnsi="Times New Roman"/>
          <w:sz w:val="28"/>
          <w:szCs w:val="28"/>
        </w:rPr>
        <w:t xml:space="preserve"> </w:t>
      </w:r>
      <w:r w:rsidRPr="00175ABD">
        <w:rPr>
          <w:rFonts w:ascii="Times New Roman" w:hAnsi="Times New Roman"/>
          <w:sz w:val="28"/>
          <w:szCs w:val="28"/>
        </w:rPr>
        <w:t xml:space="preserve"> 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 </w:t>
      </w:r>
      <w:r>
        <w:rPr>
          <w:rFonts w:ascii="Times New Roman" w:hAnsi="Times New Roman"/>
          <w:sz w:val="28"/>
          <w:szCs w:val="28"/>
        </w:rPr>
        <w:t xml:space="preserve"> </w:t>
      </w:r>
      <w:r w:rsidRPr="00175ABD">
        <w:rPr>
          <w:rFonts w:ascii="Times New Roman" w:hAnsi="Times New Roman"/>
          <w:sz w:val="28"/>
          <w:szCs w:val="28"/>
        </w:rPr>
        <w:t xml:space="preserve"> обеспечение высокой степени индивидуализации обучения и, одновременно, организация обучения как коллективного процесса; </w:t>
      </w:r>
      <w:r>
        <w:rPr>
          <w:rFonts w:ascii="Times New Roman" w:hAnsi="Times New Roman"/>
          <w:sz w:val="28"/>
          <w:szCs w:val="28"/>
        </w:rPr>
        <w:t xml:space="preserve"> </w:t>
      </w:r>
      <w:r w:rsidRPr="00175ABD">
        <w:rPr>
          <w:rFonts w:ascii="Times New Roman" w:hAnsi="Times New Roman"/>
          <w:sz w:val="28"/>
          <w:szCs w:val="28"/>
        </w:rPr>
        <w:t xml:space="preserve"> обеспечение устойчивой обратной связи в обучении и др. </w:t>
      </w:r>
    </w:p>
    <w:p w:rsidR="00BC3943" w:rsidRDefault="00BC3943" w:rsidP="00175ABD">
      <w:pPr>
        <w:pStyle w:val="ListParagraph"/>
        <w:rPr>
          <w:rFonts w:ascii="Times New Roman" w:hAnsi="Times New Roman"/>
          <w:sz w:val="28"/>
          <w:szCs w:val="28"/>
        </w:rPr>
      </w:pPr>
      <w:r w:rsidRPr="00175ABD">
        <w:rPr>
          <w:rFonts w:ascii="Times New Roman" w:hAnsi="Times New Roman"/>
          <w:sz w:val="28"/>
          <w:szCs w:val="28"/>
        </w:rPr>
        <w:t xml:space="preserve">Применение общедидактических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 </w:t>
      </w:r>
    </w:p>
    <w:p w:rsidR="00BC3943" w:rsidRDefault="00BC3943" w:rsidP="00175ABD">
      <w:pPr>
        <w:pStyle w:val="ListParagraph"/>
        <w:rPr>
          <w:rFonts w:ascii="Times New Roman" w:hAnsi="Times New Roman"/>
          <w:sz w:val="28"/>
          <w:szCs w:val="28"/>
        </w:rPr>
      </w:pPr>
      <w:r w:rsidRPr="00175ABD">
        <w:rPr>
          <w:rFonts w:ascii="Times New Roman" w:hAnsi="Times New Roman"/>
          <w:b/>
          <w:sz w:val="28"/>
          <w:szCs w:val="28"/>
        </w:rPr>
        <w:t>Здоровьесберегающие технологии</w:t>
      </w:r>
      <w:r w:rsidRPr="00175ABD">
        <w:rPr>
          <w:rFonts w:ascii="Times New Roman" w:hAnsi="Times New Roman"/>
          <w:sz w:val="28"/>
          <w:szCs w:val="28"/>
        </w:rPr>
        <w:t xml:space="preserve"> </w:t>
      </w:r>
      <w:r>
        <w:rPr>
          <w:rFonts w:ascii="Times New Roman" w:hAnsi="Times New Roman"/>
          <w:sz w:val="28"/>
          <w:szCs w:val="28"/>
        </w:rPr>
        <w:t>.</w:t>
      </w:r>
    </w:p>
    <w:p w:rsidR="00BC3943" w:rsidRDefault="00BC3943" w:rsidP="00175ABD">
      <w:pPr>
        <w:pStyle w:val="ListParagraph"/>
        <w:rPr>
          <w:rFonts w:ascii="Times New Roman" w:hAnsi="Times New Roman"/>
          <w:sz w:val="28"/>
          <w:szCs w:val="28"/>
        </w:rPr>
      </w:pPr>
      <w:r w:rsidRPr="00175ABD">
        <w:rPr>
          <w:rFonts w:ascii="Times New Roman" w:hAnsi="Times New Roman"/>
          <w:sz w:val="28"/>
          <w:szCs w:val="28"/>
        </w:rPr>
        <w:t>Цель здоровьесберегающей педагогики - обеспечить выпускнику школы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 Тогда аттестат о среднем образовании будет действительно путевкой в счастливую самостоятельную жизнь, свидетельством умения молодого человека заботиться о своем здоровье и бережно относиться к здоровью других людей. Если философия образования отвечает на вопрос " зачем учить?" , а содержание образования - "чему учить?", то педагогические технологии отвечают на вопрос "как учить?" С точки зрения здоровьесбережения, ответим: чтобы не наносить вреда здоровью субъектов образовательного процесса - учащихся и педагогов. Таким образом, здоровьесберегающие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дополняют традиционные технологии обучения, воспитания, развития задачами здоровьесбережения. Постановка задачи здоровьесбережения в образовательном процессе может рассматриваться в двух вариантах: задача-минимум и задача-оптимум. Задача-минимум отвечает фундаментальному принципу медицины и педагогики: "Не навреди!" и заключается в обеспечении таких условий обучения, воспитания, развития, которые не оказывают негативного воздействия на здоровье учащихся. Эта задача аналогична концепции охраны труда школьника. В традиционном понимании охрана труда - это предупреждение травматизма и других очевидно вредных воздействий на здоровье производственника. "Производство" школьника - его парта, класс, школа; деятельность - учеба, и задача руководителя образовательного учреждения, каждого учителя - по возможности защитить тело и психику ребенка во время его пребывания в школе от воздействия очевидно травмирующих факторов. Эти факторы (достаточно условно) можно разделить на три группы: 1)эколого-гигиенические(природно-средовые); 2)организационно-педагогические; 3)психолого-педагогические. А вот реализацию здоровьесберегающих образовательных технологий следует понимать как задачу-оптимум, включающую не только охрану здоровья учащихся, но и формирование, укрепление их здоровья, воспитание у них культуры здоровья, а также охрану здоровья педагогов и содействие им в стремлении грамотно заботиться о своем здоровье.</w:t>
      </w:r>
    </w:p>
    <w:p w:rsidR="00BC3943" w:rsidRDefault="00BC3943" w:rsidP="00175ABD">
      <w:pPr>
        <w:pStyle w:val="ListParagraph"/>
        <w:rPr>
          <w:rFonts w:ascii="Times New Roman" w:hAnsi="Times New Roman"/>
          <w:sz w:val="28"/>
          <w:szCs w:val="28"/>
        </w:rPr>
      </w:pPr>
    </w:p>
    <w:p w:rsidR="00BC3943" w:rsidRPr="00175ABD" w:rsidRDefault="00BC3943" w:rsidP="00175ABD">
      <w:pPr>
        <w:pStyle w:val="ListParagraph"/>
        <w:rPr>
          <w:rFonts w:ascii="Times New Roman" w:hAnsi="Times New Roman"/>
          <w:b/>
          <w:bCs/>
          <w:sz w:val="28"/>
          <w:szCs w:val="28"/>
          <w:u w:val="single"/>
        </w:rPr>
      </w:pPr>
      <w:r w:rsidRPr="00175ABD">
        <w:rPr>
          <w:rFonts w:ascii="Times New Roman" w:hAnsi="Times New Roman"/>
          <w:b/>
          <w:sz w:val="28"/>
          <w:szCs w:val="28"/>
        </w:rPr>
        <w:t>Удачи в обучении!</w:t>
      </w:r>
    </w:p>
    <w:p w:rsidR="00BC3943" w:rsidRDefault="00BC3943" w:rsidP="00904B34">
      <w:r>
        <w:rPr>
          <w:rFonts w:ascii="Times New Roman" w:hAnsi="Times New Roman"/>
          <w:color w:val="000000"/>
          <w:kern w:val="24"/>
          <w:sz w:val="36"/>
          <w:szCs w:val="36"/>
        </w:rPr>
        <w:t xml:space="preserve"> </w:t>
      </w:r>
    </w:p>
    <w:sectPr w:rsidR="00BC3943" w:rsidSect="00C245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547"/>
    <w:multiLevelType w:val="hybridMultilevel"/>
    <w:tmpl w:val="1332A622"/>
    <w:lvl w:ilvl="0" w:tplc="FA9E1FC2">
      <w:start w:val="1"/>
      <w:numFmt w:val="bullet"/>
      <w:lvlText w:val=""/>
      <w:lvlJc w:val="left"/>
      <w:pPr>
        <w:tabs>
          <w:tab w:val="num" w:pos="720"/>
        </w:tabs>
        <w:ind w:left="720" w:hanging="360"/>
      </w:pPr>
      <w:rPr>
        <w:rFonts w:ascii="Wingdings 2" w:hAnsi="Wingdings 2" w:hint="default"/>
      </w:rPr>
    </w:lvl>
    <w:lvl w:ilvl="1" w:tplc="9912F456" w:tentative="1">
      <w:start w:val="1"/>
      <w:numFmt w:val="bullet"/>
      <w:lvlText w:val=""/>
      <w:lvlJc w:val="left"/>
      <w:pPr>
        <w:tabs>
          <w:tab w:val="num" w:pos="1440"/>
        </w:tabs>
        <w:ind w:left="1440" w:hanging="360"/>
      </w:pPr>
      <w:rPr>
        <w:rFonts w:ascii="Wingdings 2" w:hAnsi="Wingdings 2" w:hint="default"/>
      </w:rPr>
    </w:lvl>
    <w:lvl w:ilvl="2" w:tplc="157A2F68" w:tentative="1">
      <w:start w:val="1"/>
      <w:numFmt w:val="bullet"/>
      <w:lvlText w:val=""/>
      <w:lvlJc w:val="left"/>
      <w:pPr>
        <w:tabs>
          <w:tab w:val="num" w:pos="2160"/>
        </w:tabs>
        <w:ind w:left="2160" w:hanging="360"/>
      </w:pPr>
      <w:rPr>
        <w:rFonts w:ascii="Wingdings 2" w:hAnsi="Wingdings 2" w:hint="default"/>
      </w:rPr>
    </w:lvl>
    <w:lvl w:ilvl="3" w:tplc="2F762AE4" w:tentative="1">
      <w:start w:val="1"/>
      <w:numFmt w:val="bullet"/>
      <w:lvlText w:val=""/>
      <w:lvlJc w:val="left"/>
      <w:pPr>
        <w:tabs>
          <w:tab w:val="num" w:pos="2880"/>
        </w:tabs>
        <w:ind w:left="2880" w:hanging="360"/>
      </w:pPr>
      <w:rPr>
        <w:rFonts w:ascii="Wingdings 2" w:hAnsi="Wingdings 2" w:hint="default"/>
      </w:rPr>
    </w:lvl>
    <w:lvl w:ilvl="4" w:tplc="C3A87A82" w:tentative="1">
      <w:start w:val="1"/>
      <w:numFmt w:val="bullet"/>
      <w:lvlText w:val=""/>
      <w:lvlJc w:val="left"/>
      <w:pPr>
        <w:tabs>
          <w:tab w:val="num" w:pos="3600"/>
        </w:tabs>
        <w:ind w:left="3600" w:hanging="360"/>
      </w:pPr>
      <w:rPr>
        <w:rFonts w:ascii="Wingdings 2" w:hAnsi="Wingdings 2" w:hint="default"/>
      </w:rPr>
    </w:lvl>
    <w:lvl w:ilvl="5" w:tplc="30FE0D62" w:tentative="1">
      <w:start w:val="1"/>
      <w:numFmt w:val="bullet"/>
      <w:lvlText w:val=""/>
      <w:lvlJc w:val="left"/>
      <w:pPr>
        <w:tabs>
          <w:tab w:val="num" w:pos="4320"/>
        </w:tabs>
        <w:ind w:left="4320" w:hanging="360"/>
      </w:pPr>
      <w:rPr>
        <w:rFonts w:ascii="Wingdings 2" w:hAnsi="Wingdings 2" w:hint="default"/>
      </w:rPr>
    </w:lvl>
    <w:lvl w:ilvl="6" w:tplc="CBCC08C0" w:tentative="1">
      <w:start w:val="1"/>
      <w:numFmt w:val="bullet"/>
      <w:lvlText w:val=""/>
      <w:lvlJc w:val="left"/>
      <w:pPr>
        <w:tabs>
          <w:tab w:val="num" w:pos="5040"/>
        </w:tabs>
        <w:ind w:left="5040" w:hanging="360"/>
      </w:pPr>
      <w:rPr>
        <w:rFonts w:ascii="Wingdings 2" w:hAnsi="Wingdings 2" w:hint="default"/>
      </w:rPr>
    </w:lvl>
    <w:lvl w:ilvl="7" w:tplc="00EA6BFC" w:tentative="1">
      <w:start w:val="1"/>
      <w:numFmt w:val="bullet"/>
      <w:lvlText w:val=""/>
      <w:lvlJc w:val="left"/>
      <w:pPr>
        <w:tabs>
          <w:tab w:val="num" w:pos="5760"/>
        </w:tabs>
        <w:ind w:left="5760" w:hanging="360"/>
      </w:pPr>
      <w:rPr>
        <w:rFonts w:ascii="Wingdings 2" w:hAnsi="Wingdings 2" w:hint="default"/>
      </w:rPr>
    </w:lvl>
    <w:lvl w:ilvl="8" w:tplc="21F87190" w:tentative="1">
      <w:start w:val="1"/>
      <w:numFmt w:val="bullet"/>
      <w:lvlText w:val=""/>
      <w:lvlJc w:val="left"/>
      <w:pPr>
        <w:tabs>
          <w:tab w:val="num" w:pos="6480"/>
        </w:tabs>
        <w:ind w:left="6480" w:hanging="360"/>
      </w:pPr>
      <w:rPr>
        <w:rFonts w:ascii="Wingdings 2" w:hAnsi="Wingdings 2" w:hint="default"/>
      </w:rPr>
    </w:lvl>
  </w:abstractNum>
  <w:abstractNum w:abstractNumId="1">
    <w:nsid w:val="37D77069"/>
    <w:multiLevelType w:val="hybridMultilevel"/>
    <w:tmpl w:val="577CB9D0"/>
    <w:lvl w:ilvl="0" w:tplc="D57A53B8">
      <w:start w:val="1"/>
      <w:numFmt w:val="bullet"/>
      <w:lvlText w:val=""/>
      <w:lvlJc w:val="left"/>
      <w:pPr>
        <w:tabs>
          <w:tab w:val="num" w:pos="720"/>
        </w:tabs>
        <w:ind w:left="720" w:hanging="360"/>
      </w:pPr>
      <w:rPr>
        <w:rFonts w:ascii="Wingdings 2" w:hAnsi="Wingdings 2" w:hint="default"/>
      </w:rPr>
    </w:lvl>
    <w:lvl w:ilvl="1" w:tplc="1F7631C4" w:tentative="1">
      <w:start w:val="1"/>
      <w:numFmt w:val="bullet"/>
      <w:lvlText w:val=""/>
      <w:lvlJc w:val="left"/>
      <w:pPr>
        <w:tabs>
          <w:tab w:val="num" w:pos="1440"/>
        </w:tabs>
        <w:ind w:left="1440" w:hanging="360"/>
      </w:pPr>
      <w:rPr>
        <w:rFonts w:ascii="Wingdings 2" w:hAnsi="Wingdings 2" w:hint="default"/>
      </w:rPr>
    </w:lvl>
    <w:lvl w:ilvl="2" w:tplc="768C6F92" w:tentative="1">
      <w:start w:val="1"/>
      <w:numFmt w:val="bullet"/>
      <w:lvlText w:val=""/>
      <w:lvlJc w:val="left"/>
      <w:pPr>
        <w:tabs>
          <w:tab w:val="num" w:pos="2160"/>
        </w:tabs>
        <w:ind w:left="2160" w:hanging="360"/>
      </w:pPr>
      <w:rPr>
        <w:rFonts w:ascii="Wingdings 2" w:hAnsi="Wingdings 2" w:hint="default"/>
      </w:rPr>
    </w:lvl>
    <w:lvl w:ilvl="3" w:tplc="915045B2" w:tentative="1">
      <w:start w:val="1"/>
      <w:numFmt w:val="bullet"/>
      <w:lvlText w:val=""/>
      <w:lvlJc w:val="left"/>
      <w:pPr>
        <w:tabs>
          <w:tab w:val="num" w:pos="2880"/>
        </w:tabs>
        <w:ind w:left="2880" w:hanging="360"/>
      </w:pPr>
      <w:rPr>
        <w:rFonts w:ascii="Wingdings 2" w:hAnsi="Wingdings 2" w:hint="default"/>
      </w:rPr>
    </w:lvl>
    <w:lvl w:ilvl="4" w:tplc="45566352" w:tentative="1">
      <w:start w:val="1"/>
      <w:numFmt w:val="bullet"/>
      <w:lvlText w:val=""/>
      <w:lvlJc w:val="left"/>
      <w:pPr>
        <w:tabs>
          <w:tab w:val="num" w:pos="3600"/>
        </w:tabs>
        <w:ind w:left="3600" w:hanging="360"/>
      </w:pPr>
      <w:rPr>
        <w:rFonts w:ascii="Wingdings 2" w:hAnsi="Wingdings 2" w:hint="default"/>
      </w:rPr>
    </w:lvl>
    <w:lvl w:ilvl="5" w:tplc="B740A6CC" w:tentative="1">
      <w:start w:val="1"/>
      <w:numFmt w:val="bullet"/>
      <w:lvlText w:val=""/>
      <w:lvlJc w:val="left"/>
      <w:pPr>
        <w:tabs>
          <w:tab w:val="num" w:pos="4320"/>
        </w:tabs>
        <w:ind w:left="4320" w:hanging="360"/>
      </w:pPr>
      <w:rPr>
        <w:rFonts w:ascii="Wingdings 2" w:hAnsi="Wingdings 2" w:hint="default"/>
      </w:rPr>
    </w:lvl>
    <w:lvl w:ilvl="6" w:tplc="6BA872B6" w:tentative="1">
      <w:start w:val="1"/>
      <w:numFmt w:val="bullet"/>
      <w:lvlText w:val=""/>
      <w:lvlJc w:val="left"/>
      <w:pPr>
        <w:tabs>
          <w:tab w:val="num" w:pos="5040"/>
        </w:tabs>
        <w:ind w:left="5040" w:hanging="360"/>
      </w:pPr>
      <w:rPr>
        <w:rFonts w:ascii="Wingdings 2" w:hAnsi="Wingdings 2" w:hint="default"/>
      </w:rPr>
    </w:lvl>
    <w:lvl w:ilvl="7" w:tplc="543E5CC2" w:tentative="1">
      <w:start w:val="1"/>
      <w:numFmt w:val="bullet"/>
      <w:lvlText w:val=""/>
      <w:lvlJc w:val="left"/>
      <w:pPr>
        <w:tabs>
          <w:tab w:val="num" w:pos="5760"/>
        </w:tabs>
        <w:ind w:left="5760" w:hanging="360"/>
      </w:pPr>
      <w:rPr>
        <w:rFonts w:ascii="Wingdings 2" w:hAnsi="Wingdings 2" w:hint="default"/>
      </w:rPr>
    </w:lvl>
    <w:lvl w:ilvl="8" w:tplc="1952B312" w:tentative="1">
      <w:start w:val="1"/>
      <w:numFmt w:val="bullet"/>
      <w:lvlText w:val=""/>
      <w:lvlJc w:val="left"/>
      <w:pPr>
        <w:tabs>
          <w:tab w:val="num" w:pos="6480"/>
        </w:tabs>
        <w:ind w:left="6480" w:hanging="360"/>
      </w:pPr>
      <w:rPr>
        <w:rFonts w:ascii="Wingdings 2" w:hAnsi="Wingdings 2" w:hint="default"/>
      </w:rPr>
    </w:lvl>
  </w:abstractNum>
  <w:abstractNum w:abstractNumId="2">
    <w:nsid w:val="56013417"/>
    <w:multiLevelType w:val="hybridMultilevel"/>
    <w:tmpl w:val="B56C9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B34"/>
    <w:rsid w:val="00010417"/>
    <w:rsid w:val="00175ABD"/>
    <w:rsid w:val="00615650"/>
    <w:rsid w:val="007D513A"/>
    <w:rsid w:val="008609A9"/>
    <w:rsid w:val="00904B34"/>
    <w:rsid w:val="00975706"/>
    <w:rsid w:val="00A877B0"/>
    <w:rsid w:val="00BC3943"/>
    <w:rsid w:val="00C24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513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75ABD"/>
    <w:pPr>
      <w:ind w:left="720"/>
      <w:contextualSpacing/>
    </w:pPr>
  </w:style>
</w:styles>
</file>

<file path=word/webSettings.xml><?xml version="1.0" encoding="utf-8"?>
<w:webSettings xmlns:r="http://schemas.openxmlformats.org/officeDocument/2006/relationships" xmlns:w="http://schemas.openxmlformats.org/wordprocessingml/2006/main">
  <w:divs>
    <w:div w:id="2095853845">
      <w:marLeft w:val="0"/>
      <w:marRight w:val="0"/>
      <w:marTop w:val="0"/>
      <w:marBottom w:val="0"/>
      <w:divBdr>
        <w:top w:val="none" w:sz="0" w:space="0" w:color="auto"/>
        <w:left w:val="none" w:sz="0" w:space="0" w:color="auto"/>
        <w:bottom w:val="none" w:sz="0" w:space="0" w:color="auto"/>
        <w:right w:val="none" w:sz="0" w:space="0" w:color="auto"/>
      </w:divBdr>
    </w:div>
    <w:div w:id="2095853848">
      <w:marLeft w:val="0"/>
      <w:marRight w:val="0"/>
      <w:marTop w:val="0"/>
      <w:marBottom w:val="0"/>
      <w:divBdr>
        <w:top w:val="none" w:sz="0" w:space="0" w:color="auto"/>
        <w:left w:val="none" w:sz="0" w:space="0" w:color="auto"/>
        <w:bottom w:val="none" w:sz="0" w:space="0" w:color="auto"/>
        <w:right w:val="none" w:sz="0" w:space="0" w:color="auto"/>
      </w:divBdr>
      <w:divsChild>
        <w:div w:id="2095853847">
          <w:marLeft w:val="576"/>
          <w:marRight w:val="0"/>
          <w:marTop w:val="120"/>
          <w:marBottom w:val="0"/>
          <w:divBdr>
            <w:top w:val="none" w:sz="0" w:space="0" w:color="auto"/>
            <w:left w:val="none" w:sz="0" w:space="0" w:color="auto"/>
            <w:bottom w:val="none" w:sz="0" w:space="0" w:color="auto"/>
            <w:right w:val="none" w:sz="0" w:space="0" w:color="auto"/>
          </w:divBdr>
        </w:div>
      </w:divsChild>
    </w:div>
    <w:div w:id="2095853849">
      <w:marLeft w:val="0"/>
      <w:marRight w:val="0"/>
      <w:marTop w:val="0"/>
      <w:marBottom w:val="0"/>
      <w:divBdr>
        <w:top w:val="none" w:sz="0" w:space="0" w:color="auto"/>
        <w:left w:val="none" w:sz="0" w:space="0" w:color="auto"/>
        <w:bottom w:val="none" w:sz="0" w:space="0" w:color="auto"/>
        <w:right w:val="none" w:sz="0" w:space="0" w:color="auto"/>
      </w:divBdr>
      <w:divsChild>
        <w:div w:id="209585384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12</Pages>
  <Words>4785</Words>
  <Characters>27279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ЕИ</dc:creator>
  <cp:keywords/>
  <dc:description/>
  <cp:lastModifiedBy>Денис</cp:lastModifiedBy>
  <cp:revision>3</cp:revision>
  <dcterms:created xsi:type="dcterms:W3CDTF">2021-01-26T11:09:00Z</dcterms:created>
  <dcterms:modified xsi:type="dcterms:W3CDTF">2021-02-03T11:51:00Z</dcterms:modified>
</cp:coreProperties>
</file>